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4" w:rsidRDefault="00F61D64" w:rsidP="00F61D64">
      <w:pPr>
        <w:spacing w:line="36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>附件</w:t>
      </w:r>
      <w:r>
        <w:rPr>
          <w:rFonts w:cs="Times New Roman" w:hint="eastAsia"/>
          <w:sz w:val="24"/>
        </w:rPr>
        <w:t>2</w:t>
      </w:r>
      <w:r>
        <w:rPr>
          <w:rFonts w:cs="Times New Roman" w:hint="eastAsia"/>
          <w:sz w:val="24"/>
        </w:rPr>
        <w:t>：</w:t>
      </w:r>
    </w:p>
    <w:p w:rsidR="00F61D64" w:rsidRDefault="00F61D64" w:rsidP="00F61D64">
      <w:pPr>
        <w:spacing w:line="56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房地产估价机构创新项目申报表</w:t>
      </w:r>
    </w:p>
    <w:p w:rsidR="00F61D64" w:rsidRDefault="00F61D64" w:rsidP="00F61D64">
      <w:pPr>
        <w:spacing w:line="560" w:lineRule="exact"/>
        <w:jc w:val="center"/>
        <w:rPr>
          <w:rFonts w:ascii="黑体" w:eastAsia="黑体" w:hAnsi="黑体" w:cs="Times New Roman"/>
          <w:sz w:val="28"/>
          <w:szCs w:val="28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9"/>
        <w:gridCol w:w="6827"/>
      </w:tblGrid>
      <w:tr w:rsidR="00F61D64" w:rsidTr="00AA664D">
        <w:trPr>
          <w:trHeight w:val="566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F61D64" w:rsidTr="00AA664D">
        <w:trPr>
          <w:trHeight w:val="503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创新项目名称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F61D64" w:rsidTr="00AA664D">
        <w:trPr>
          <w:trHeight w:val="590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创新时间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F61D64" w:rsidTr="00AA664D">
        <w:trPr>
          <w:trHeight w:val="1492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创新内容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F61D64" w:rsidTr="00AA664D">
        <w:trPr>
          <w:trHeight w:val="2535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估价理论认定或实践被采用情况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填报机构盖章</w:t>
            </w:r>
          </w:p>
          <w:p w:rsidR="00F61D64" w:rsidRDefault="00F61D64" w:rsidP="00AA66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F61D64" w:rsidTr="00AA664D">
        <w:trPr>
          <w:trHeight w:val="2467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省专家委员会</w:t>
            </w:r>
          </w:p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意见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ind w:right="1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                      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  <w:tr w:rsidR="00F61D64" w:rsidTr="00AA664D">
        <w:trPr>
          <w:trHeight w:val="1888"/>
          <w:jc w:val="center"/>
        </w:trPr>
        <w:tc>
          <w:tcPr>
            <w:tcW w:w="2039" w:type="dxa"/>
            <w:vAlign w:val="center"/>
          </w:tcPr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省协会资信评价小组意见</w:t>
            </w:r>
          </w:p>
        </w:tc>
        <w:tc>
          <w:tcPr>
            <w:tcW w:w="6827" w:type="dxa"/>
            <w:vAlign w:val="center"/>
          </w:tcPr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F61D64" w:rsidRDefault="00F61D64" w:rsidP="00AA664D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</w:tbl>
    <w:p w:rsidR="00F61D64" w:rsidRDefault="00F61D64" w:rsidP="00F61D64">
      <w:pPr>
        <w:spacing w:line="360" w:lineRule="auto"/>
        <w:contextualSpacing/>
        <w:rPr>
          <w:rFonts w:ascii="Times New Roman" w:eastAsia="楷体_GB2312" w:hAnsi="Times New Roman"/>
          <w:bCs/>
          <w:sz w:val="24"/>
        </w:rPr>
      </w:pPr>
    </w:p>
    <w:p w:rsidR="00F61D64" w:rsidRDefault="00F61D64" w:rsidP="00F61D64">
      <w:pPr>
        <w:contextualSpacing/>
        <w:rPr>
          <w:rFonts w:ascii="Times New Roman" w:eastAsia="楷体_GB2312" w:hAnsi="Times New Roman"/>
          <w:bCs/>
          <w:sz w:val="24"/>
        </w:rPr>
      </w:pPr>
      <w:r>
        <w:rPr>
          <w:rFonts w:ascii="Times New Roman" w:eastAsia="楷体_GB2312" w:hAnsi="Times New Roman" w:hint="eastAsia"/>
          <w:bCs/>
          <w:sz w:val="24"/>
        </w:rPr>
        <w:t>填报说明：</w:t>
      </w:r>
    </w:p>
    <w:p w:rsidR="00F61D64" w:rsidRDefault="00F61D64" w:rsidP="00F61D64">
      <w:pPr>
        <w:contextualSpacing/>
        <w:rPr>
          <w:rFonts w:eastAsia="楷体_GB2312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t xml:space="preserve">1. </w:t>
      </w:r>
      <w:r>
        <w:rPr>
          <w:rFonts w:ascii="Times New Roman" w:eastAsia="楷体_GB2312"/>
          <w:bCs/>
          <w:sz w:val="24"/>
        </w:rPr>
        <w:t>估价理论创新申报条件：超过且不违背《房地产估价规范》《房地产估价理论与方法》，有理论依据及指导意义，得到省级以上行业组织认定。</w:t>
      </w:r>
    </w:p>
    <w:p w:rsidR="00F61D64" w:rsidRDefault="00F61D64" w:rsidP="00F61D64">
      <w:pPr>
        <w:ind w:leftChars="-13" w:left="93" w:rightChars="-191" w:right="-401" w:hangingChars="50" w:hanging="120"/>
        <w:contextualSpacing/>
        <w:rPr>
          <w:rFonts w:eastAsia="楷体_GB2312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lastRenderedPageBreak/>
        <w:t xml:space="preserve">2. </w:t>
      </w:r>
      <w:r>
        <w:rPr>
          <w:rFonts w:eastAsia="楷体_GB2312" w:hint="eastAsia"/>
          <w:bCs/>
          <w:sz w:val="24"/>
        </w:rPr>
        <w:t>估价实践创新申报条件：超过一般估价业务范围，不违背《规范》《指导意见》《指引》要求，有相关技术数据支撑，得到司法机关、社会广泛认可，有估价实践及经济效益。</w:t>
      </w:r>
    </w:p>
    <w:p w:rsidR="00F61D64" w:rsidRDefault="00F61D64" w:rsidP="00F61D64">
      <w:pPr>
        <w:ind w:leftChars="-63" w:left="228" w:rightChars="-191" w:right="-401" w:hangingChars="150" w:hanging="360"/>
        <w:contextualSpacing/>
      </w:pPr>
      <w:r>
        <w:rPr>
          <w:rFonts w:ascii="Times New Roman" w:eastAsia="楷体_GB2312" w:hAnsi="Times New Roman"/>
          <w:bCs/>
          <w:sz w:val="24"/>
        </w:rPr>
        <w:t xml:space="preserve">3. </w:t>
      </w:r>
      <w:r>
        <w:rPr>
          <w:rFonts w:ascii="Times New Roman" w:eastAsia="楷体_GB2312"/>
          <w:bCs/>
          <w:sz w:val="24"/>
        </w:rPr>
        <w:t>附件：理论创新需附省级以上行业组织认定资料；实践创新需附创新业务清单及报告封面、委托书、</w:t>
      </w:r>
      <w:r>
        <w:rPr>
          <w:rFonts w:eastAsia="楷体_GB2312" w:hint="eastAsia"/>
          <w:bCs/>
          <w:sz w:val="24"/>
        </w:rPr>
        <w:t>司法机关及</w:t>
      </w:r>
      <w:r>
        <w:rPr>
          <w:rFonts w:ascii="Times New Roman" w:eastAsia="楷体_GB2312"/>
          <w:bCs/>
          <w:sz w:val="24"/>
        </w:rPr>
        <w:t>社会采用相关资料</w:t>
      </w:r>
      <w:r>
        <w:rPr>
          <w:rFonts w:ascii="Times New Roman" w:eastAsia="楷体_GB2312" w:hint="eastAsia"/>
          <w:bCs/>
          <w:sz w:val="24"/>
        </w:rPr>
        <w:t>（有公信力的资料如判决书等，委托人认可的除外）</w:t>
      </w:r>
      <w:r>
        <w:rPr>
          <w:rFonts w:ascii="Times New Roman" w:eastAsia="楷体_GB2312"/>
          <w:bCs/>
          <w:sz w:val="24"/>
        </w:rPr>
        <w:t>。</w:t>
      </w:r>
    </w:p>
    <w:p w:rsidR="00F61D64" w:rsidRDefault="00F61D64" w:rsidP="00F61D6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52C2F" w:rsidRDefault="00052C2F"/>
    <w:sectPr w:rsidR="00052C2F" w:rsidSect="001C2BE2">
      <w:footerReference w:type="default" r:id="rId4"/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E2" w:rsidRDefault="00F61D64">
    <w:pPr>
      <w:pStyle w:val="a3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F61D64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D64"/>
    <w:rsid w:val="00052C2F"/>
    <w:rsid w:val="003D1F36"/>
    <w:rsid w:val="00F6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61D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1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2020-09-04T07:36:00Z</dcterms:created>
  <dcterms:modified xsi:type="dcterms:W3CDTF">2020-09-04T07:37:00Z</dcterms:modified>
</cp:coreProperties>
</file>